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0700" w:type="dxa"/>
        <w:gridCol w:w="40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093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2024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activitats esportives 2025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del Cursos ofertats per ADL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  <w:tr>
        <w:trPr/>
        <w:tc>
          <w:tcPr>
            <w:tcW w:w="90700" w:type="pct"/>
            <w:vAlign w:val="center"/>
          </w:tcPr>
          <w:p>
            <w:pPr>
              <w:jc w:val="center"/>
            </w:pPr>
            <w:r>
              <w:rPr/>
              <w:t xml:space="preserve">Preus Públics de la publicitat en el llibre de festes</w:t>
            </w:r>
          </w:p>
        </w:tc>
        <w:tc>
          <w:tcPr>
            <w:tcW w:w="4093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2026-11-01T19:48:53+00:00</dcterms:created>
  <dcterms:modified xsi:type="dcterms:W3CDTF">2026-11-01T19:48:53+00:00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