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Millores en la maquinària del gimnàs 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Resultats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Qüestionari per a l´elaboracció de l´agenda urbana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4650" w:type="dxa"/>
        <w:gridCol w:w="465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Projecte Rafelbunyol Fàbrica d'idees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Enqueste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Resultats - Graphics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Resultats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</w:tbl>
    <w:tbl>
      <w:tblGrid>
        <w:gridCol w:w="34650" w:type="dxa"/>
        <w:gridCol w:w="465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Projecte de reurbanització del barri de Sant Pere finançat amb Fons *PRTR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4650" w:type="pct"/>
            <w:vAlign w:val="center"/>
          </w:tcPr>
          <w:p>
            <w:pPr>
              <w:jc w:val="center"/>
            </w:pPr>
            <w:r>
              <w:rPr/>
              <w:t xml:space="preserve">Informe resultats dels processos de participació pública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2026-09-16T01:25:32+00:00</dcterms:created>
  <dcterms:modified xsi:type="dcterms:W3CDTF">2026-09-16T01:25:32+00:00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